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F67107" w:rsidRDefault="00F92268" w:rsidP="00F67107">
            <w:pPr>
              <w:pStyle w:val="RefTableData"/>
            </w:pPr>
            <w:r w:rsidRPr="00F67107">
              <w:t>Reference number(s)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1CEFB43D" w:rsidR="00F92268" w:rsidRPr="00F67107" w:rsidRDefault="00022CC2" w:rsidP="00F67107">
            <w:pPr>
              <w:pStyle w:val="RefTableData"/>
            </w:pPr>
            <w:r w:rsidRPr="00F67107">
              <w:t>4575-A</w:t>
            </w:r>
          </w:p>
        </w:tc>
      </w:tr>
    </w:tbl>
    <w:p w14:paraId="74FBA5B4" w14:textId="77777777" w:rsidR="00051356" w:rsidRPr="006748BA" w:rsidRDefault="00051356" w:rsidP="006748BA">
      <w:pPr>
        <w:pStyle w:val="BodyText"/>
        <w:spacing w:after="0"/>
        <w:rPr>
          <w:b/>
          <w:bCs/>
          <w:sz w:val="2"/>
          <w:szCs w:val="2"/>
        </w:rPr>
        <w:sectPr w:rsidR="00051356" w:rsidRPr="006748BA" w:rsidSect="004A7727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41005F16" w:rsidR="004B15BB" w:rsidRPr="00BD1CC1" w:rsidRDefault="00022CC2" w:rsidP="007E5C16">
      <w:pPr>
        <w:pStyle w:val="Heading1"/>
      </w:pPr>
      <w:r w:rsidRPr="00022CC2">
        <w:t>Specialty Guideline Management</w:t>
      </w:r>
      <w:r w:rsidRPr="00022CC2">
        <w:br/>
        <w:t>Nulibry</w:t>
      </w:r>
    </w:p>
    <w:p w14:paraId="78861C92" w14:textId="31962C63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2AD65969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422137">
        <w:t>Over-the-counter (</w:t>
      </w:r>
      <w:r w:rsidRPr="00BD1CC1">
        <w:t>OTC</w:t>
      </w:r>
      <w:r w:rsidR="00422137">
        <w:t>)</w:t>
      </w:r>
      <w:r w:rsidRPr="00BD1CC1">
        <w:t xml:space="preserve"> products are not included unless otherwise stated.</w:t>
      </w:r>
    </w:p>
    <w:tbl>
      <w:tblPr>
        <w:tblStyle w:val="TableGrid"/>
        <w:tblW w:w="1077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385"/>
        <w:gridCol w:w="5385"/>
      </w:tblGrid>
      <w:tr w:rsidR="00252CE1" w:rsidRPr="00BD1CC1" w14:paraId="158421F8" w14:textId="77777777" w:rsidTr="004F0F5E">
        <w:trPr>
          <w:cantSplit/>
          <w:trHeight w:val="288"/>
          <w:tblHeader/>
        </w:trPr>
        <w:tc>
          <w:tcPr>
            <w:tcW w:w="538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38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4F0F5E">
        <w:trPr>
          <w:cantSplit/>
        </w:trPr>
        <w:tc>
          <w:tcPr>
            <w:tcW w:w="5385" w:type="dxa"/>
          </w:tcPr>
          <w:p w14:paraId="2D8FA8E3" w14:textId="12B8ADFA" w:rsidR="00585FFF" w:rsidRPr="00BD1CC1" w:rsidRDefault="00022CC2" w:rsidP="00E82ABA">
            <w:pPr>
              <w:pStyle w:val="TableDataUnpadded"/>
            </w:pPr>
            <w:r w:rsidRPr="00022CC2">
              <w:t>Nulibry</w:t>
            </w:r>
          </w:p>
        </w:tc>
        <w:tc>
          <w:tcPr>
            <w:tcW w:w="5385" w:type="dxa"/>
          </w:tcPr>
          <w:p w14:paraId="7E26A004" w14:textId="142A4A49" w:rsidR="00585FFF" w:rsidRPr="00BD1CC1" w:rsidRDefault="005B5910" w:rsidP="00E82ABA">
            <w:pPr>
              <w:pStyle w:val="TableDataUnpadded"/>
            </w:pPr>
            <w:r w:rsidRPr="005B5910">
              <w:t>fosdenopterin</w:t>
            </w:r>
          </w:p>
        </w:tc>
      </w:tr>
    </w:tbl>
    <w:bookmarkEnd w:id="0"/>
    <w:p w14:paraId="14CE6108" w14:textId="59C69229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4A950204" w14:textId="78B3266E" w:rsidR="005B5910" w:rsidRPr="005B5910" w:rsidRDefault="005B5910" w:rsidP="005B5910">
      <w:pPr>
        <w:pStyle w:val="BodyText"/>
      </w:pPr>
      <w:r w:rsidRPr="005B5910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15D4AA34" w:rsidR="00ED052F" w:rsidRDefault="00ED052F" w:rsidP="00ED052F">
      <w:pPr>
        <w:pStyle w:val="Heading3"/>
        <w:keepNext w:val="0"/>
        <w:rPr>
          <w:vertAlign w:val="superscript"/>
        </w:rPr>
      </w:pPr>
      <w:r w:rsidRPr="00BD1CC1">
        <w:t>FDA-approved Indicati</w:t>
      </w:r>
      <w:r w:rsidR="005B5910" w:rsidRPr="005B5910">
        <w:t>on</w:t>
      </w:r>
      <w:r w:rsidR="005B5910" w:rsidRPr="005B5910">
        <w:rPr>
          <w:vertAlign w:val="superscript"/>
        </w:rPr>
        <w:t>1</w:t>
      </w:r>
    </w:p>
    <w:p w14:paraId="4C098A77" w14:textId="77777777" w:rsidR="005B5910" w:rsidRPr="005B5910" w:rsidRDefault="005B5910" w:rsidP="005B5910">
      <w:pPr>
        <w:pStyle w:val="BodyText"/>
      </w:pPr>
      <w:r w:rsidRPr="005B5910">
        <w:t>Nulibry is indicated to reduce the risk of mortality in patients with molybdenum cofactor deficiency (MoCD) Type A.</w:t>
      </w:r>
    </w:p>
    <w:p w14:paraId="5576E3E9" w14:textId="61DA251E" w:rsidR="005B5910" w:rsidRPr="005B5910" w:rsidRDefault="005B5910" w:rsidP="005B5910">
      <w:pPr>
        <w:pStyle w:val="BodyText"/>
      </w:pPr>
      <w:r w:rsidRPr="005B5910">
        <w:t>All other indications are considered experimental/investigational and not medically necessary.</w:t>
      </w:r>
    </w:p>
    <w:p w14:paraId="01B26FEA" w14:textId="69319553" w:rsidR="00D16861" w:rsidRDefault="00D16861" w:rsidP="00D16861">
      <w:pPr>
        <w:pStyle w:val="Heading2"/>
      </w:pPr>
      <w:r w:rsidRPr="00BD1CC1">
        <w:t>Documentation</w:t>
      </w:r>
    </w:p>
    <w:p w14:paraId="33687D33" w14:textId="77777777" w:rsidR="00D16861" w:rsidRPr="00D16861" w:rsidRDefault="00D16861" w:rsidP="00D16861">
      <w:pPr>
        <w:pStyle w:val="BodyText"/>
      </w:pPr>
      <w:r w:rsidRPr="00D16861">
        <w:t>Submission of the following information is necessary to initiate the prior authorization review:</w:t>
      </w:r>
    </w:p>
    <w:p w14:paraId="20D0D494" w14:textId="489605F0" w:rsidR="00D16861" w:rsidRDefault="00D16861" w:rsidP="00AC05F4">
      <w:pPr>
        <w:pStyle w:val="Heading3"/>
      </w:pPr>
      <w:r w:rsidRPr="00C062CA">
        <w:t>Initial requests</w:t>
      </w:r>
    </w:p>
    <w:p w14:paraId="51A70CE6" w14:textId="0FDF215A" w:rsidR="00D16861" w:rsidRPr="00D16861" w:rsidRDefault="00B13A35" w:rsidP="38776B24">
      <w:pPr>
        <w:pStyle w:val="ListParagraph"/>
      </w:pPr>
      <w:r>
        <w:t>G</w:t>
      </w:r>
      <w:r w:rsidR="00D16861">
        <w:t xml:space="preserve">enetic testing results documenting </w:t>
      </w:r>
      <w:r w:rsidR="39FDDAEC">
        <w:t>pathogenic variant</w:t>
      </w:r>
      <w:r w:rsidR="2B43AB8C">
        <w:t>(s)</w:t>
      </w:r>
      <w:r w:rsidR="00D16861">
        <w:t xml:space="preserve"> in the molybdenum cofactor synthesis 1 (MOCS1) gene, where applicable.</w:t>
      </w:r>
    </w:p>
    <w:p w14:paraId="6A7EDD59" w14:textId="489CF5FF" w:rsidR="00D16861" w:rsidRDefault="00D16861" w:rsidP="00AC05F4">
      <w:pPr>
        <w:pStyle w:val="Heading3"/>
      </w:pPr>
      <w:r w:rsidRPr="00C062CA">
        <w:lastRenderedPageBreak/>
        <w:t>Continuation</w:t>
      </w:r>
      <w:r w:rsidRPr="0073643F">
        <w:t xml:space="preserve"> requests</w:t>
      </w:r>
      <w:r w:rsidR="00DB3328">
        <w:t xml:space="preserve"> </w:t>
      </w:r>
      <w:r w:rsidR="00DB3328" w:rsidRPr="00DB3328">
        <w:t>(where applicable)</w:t>
      </w:r>
    </w:p>
    <w:p w14:paraId="74FAAE89" w14:textId="4A22AD77" w:rsidR="00D16861" w:rsidRPr="00253655" w:rsidRDefault="00D16861" w:rsidP="38776B24">
      <w:pPr>
        <w:pStyle w:val="ListParagraph"/>
      </w:pPr>
      <w:r>
        <w:t>Genetic testing results documenting</w:t>
      </w:r>
      <w:r w:rsidR="70EAD95F">
        <w:t xml:space="preserve"> </w:t>
      </w:r>
      <w:r w:rsidR="1AD84E96">
        <w:t>pathogenic variant</w:t>
      </w:r>
      <w:r w:rsidR="610C4C34">
        <w:t>(s)</w:t>
      </w:r>
      <w:r>
        <w:t xml:space="preserve"> in the molybdenum cofactor synthesis 1 (MOCS1) gene.</w:t>
      </w:r>
    </w:p>
    <w:p w14:paraId="5006B581" w14:textId="77777777" w:rsidR="00D16861" w:rsidRPr="00253655" w:rsidRDefault="00D16861" w:rsidP="00253655">
      <w:pPr>
        <w:pStyle w:val="ListParagraph"/>
        <w:numPr>
          <w:ilvl w:val="0"/>
          <w:numId w:val="38"/>
        </w:numPr>
        <w:contextualSpacing w:val="0"/>
      </w:pPr>
      <w:r w:rsidRPr="00253655">
        <w:t>Chart notes or medical records documenting a benefit from therapy (e.g., improvement, stabilization, or slowing of disease progression for encephalopathy and/or seizure activity, improved or normalized uric acid, urinary S-</w:t>
      </w:r>
      <w:proofErr w:type="spellStart"/>
      <w:r w:rsidRPr="00253655">
        <w:t>sulfocysteine</w:t>
      </w:r>
      <w:proofErr w:type="spellEnd"/>
      <w:r w:rsidRPr="00253655">
        <w:t>, and xanthine levels).</w:t>
      </w:r>
    </w:p>
    <w:p w14:paraId="6FAB9024" w14:textId="77777777" w:rsidR="00B4652E" w:rsidRPr="00AA1E6A" w:rsidRDefault="00B4652E" w:rsidP="00B4652E">
      <w:pPr>
        <w:pStyle w:val="Heading2"/>
      </w:pPr>
      <w:r w:rsidRPr="00BD1CC1">
        <w:t>Prescriber Specialties</w:t>
      </w:r>
    </w:p>
    <w:p w14:paraId="6F63A147" w14:textId="274B1239" w:rsidR="007B4F11" w:rsidRDefault="00B4652E" w:rsidP="00E94A3F">
      <w:pPr>
        <w:pStyle w:val="BodyText"/>
      </w:pPr>
      <w:r w:rsidRPr="00BD1CC1">
        <w:t xml:space="preserve">This medication must be prescribed by or in consultation with </w:t>
      </w:r>
      <w:r>
        <w:t>a physician who specializes in the treatment of enzyme or metabolic disorders.</w:t>
      </w:r>
    </w:p>
    <w:p w14:paraId="50A38FBA" w14:textId="18938BB7" w:rsidR="00FE0C63" w:rsidRPr="00100B91" w:rsidRDefault="00685107" w:rsidP="00E050E1">
      <w:pPr>
        <w:pStyle w:val="Heading2"/>
      </w:pPr>
      <w:r>
        <w:t>Coverage Criteria</w:t>
      </w:r>
    </w:p>
    <w:p w14:paraId="5E357792" w14:textId="55D5C110" w:rsidR="00C22F9B" w:rsidRDefault="005B5910" w:rsidP="00C22F9B">
      <w:pPr>
        <w:pStyle w:val="Heading3"/>
      </w:pPr>
      <w:r w:rsidRPr="005B5910">
        <w:t>Molybdenum cofactor deficiency (MoCD) Type A</w:t>
      </w:r>
    </w:p>
    <w:p w14:paraId="7F9C302E" w14:textId="5B505B5C" w:rsidR="009F6D22" w:rsidRPr="009F6D22" w:rsidRDefault="009F6D22" w:rsidP="009F6D22">
      <w:pPr>
        <w:pStyle w:val="BodyText"/>
      </w:pPr>
      <w:r>
        <w:t xml:space="preserve">Authorization 12 months may be granted when the diagnosis of MoCD Type A was confirmed by genetic testing documenting </w:t>
      </w:r>
      <w:r w:rsidR="65FAA86A">
        <w:t>pathogenic variant</w:t>
      </w:r>
      <w:r w:rsidR="5178C28B">
        <w:t>(s)</w:t>
      </w:r>
      <w:r>
        <w:t xml:space="preserve"> in the molybdenum cofactor synthesis 1 (MOCS1) gene.</w:t>
      </w:r>
    </w:p>
    <w:p w14:paraId="25F13EA9" w14:textId="77777777" w:rsidR="009F6D22" w:rsidRPr="009F6D22" w:rsidRDefault="009F6D22" w:rsidP="009F6D22">
      <w:pPr>
        <w:pStyle w:val="BodyText"/>
      </w:pPr>
      <w:r w:rsidRPr="009F6D22">
        <w:t>Authorization of 3 months may be granted when both of the following criteria are met:</w:t>
      </w:r>
    </w:p>
    <w:p w14:paraId="32FDAD3E" w14:textId="77777777" w:rsidR="009F6D22" w:rsidRPr="00C27BAB" w:rsidRDefault="009F6D22" w:rsidP="00C27BAB">
      <w:pPr>
        <w:pStyle w:val="ListParagraph"/>
        <w:numPr>
          <w:ilvl w:val="0"/>
          <w:numId w:val="39"/>
        </w:numPr>
        <w:contextualSpacing w:val="0"/>
      </w:pPr>
      <w:r w:rsidRPr="00C27BAB">
        <w:t>Member has a presumed diagnosis of MoCD Type A and genetic test results are pending.</w:t>
      </w:r>
    </w:p>
    <w:p w14:paraId="48EBE0D1" w14:textId="77777777" w:rsidR="009F6D22" w:rsidRPr="00C27BAB" w:rsidRDefault="009F6D22" w:rsidP="00C27BAB">
      <w:pPr>
        <w:pStyle w:val="ListParagraph"/>
        <w:numPr>
          <w:ilvl w:val="0"/>
          <w:numId w:val="39"/>
        </w:numPr>
        <w:contextualSpacing w:val="0"/>
      </w:pPr>
      <w:r w:rsidRPr="00C27BAB">
        <w:t>Member has clinical signs and symptoms associated with MoCD Type A (e.g., encephalopathy, intractable seizures, developmental delay, decreased uric acid levels, elevated urinary S-</w:t>
      </w:r>
      <w:proofErr w:type="spellStart"/>
      <w:r w:rsidRPr="00C27BAB">
        <w:t>sulfocysteine</w:t>
      </w:r>
      <w:proofErr w:type="spellEnd"/>
      <w:r w:rsidRPr="00C27BAB">
        <w:t xml:space="preserve"> and/or xanthine levels).</w:t>
      </w:r>
    </w:p>
    <w:p w14:paraId="3A643EC3" w14:textId="13D9706C" w:rsidR="00A501AC" w:rsidRDefault="00A501AC" w:rsidP="00A501AC">
      <w:pPr>
        <w:pStyle w:val="Heading2"/>
      </w:pPr>
      <w:r w:rsidRPr="00BD1CC1">
        <w:t>Continuation of Therapy</w:t>
      </w:r>
    </w:p>
    <w:p w14:paraId="00749469" w14:textId="77777777" w:rsidR="009F6D22" w:rsidRPr="009F6D22" w:rsidRDefault="009F6D22" w:rsidP="009F6D22">
      <w:pPr>
        <w:pStyle w:val="BodyText"/>
      </w:pPr>
      <w:r w:rsidRPr="009F6D22">
        <w:t>Authorization of 12 months may be granted for members with an indication listed in the coverage criteria section when one of the following is met:</w:t>
      </w:r>
    </w:p>
    <w:p w14:paraId="136E320D" w14:textId="74768EC3" w:rsidR="009F6D22" w:rsidRPr="00935094" w:rsidRDefault="009F6D22" w:rsidP="38776B24">
      <w:pPr>
        <w:pStyle w:val="ListParagraph"/>
      </w:pPr>
      <w:r>
        <w:t xml:space="preserve">The member has received less than 12 months of therapy and has genetic testing results documenting </w:t>
      </w:r>
      <w:r w:rsidR="2198F442">
        <w:t>pathogenic variant</w:t>
      </w:r>
      <w:r w:rsidR="2AE3B84F">
        <w:t>(s)</w:t>
      </w:r>
      <w:r>
        <w:t xml:space="preserve"> in the molybdenum cofactor synthesis 1 (MOCS1) gene.</w:t>
      </w:r>
    </w:p>
    <w:p w14:paraId="0582CF28" w14:textId="77777777" w:rsidR="009F6D22" w:rsidRPr="00935094" w:rsidRDefault="009F6D22" w:rsidP="00935094">
      <w:pPr>
        <w:pStyle w:val="ListParagraph"/>
        <w:numPr>
          <w:ilvl w:val="0"/>
          <w:numId w:val="40"/>
        </w:numPr>
        <w:contextualSpacing w:val="0"/>
      </w:pPr>
      <w:r w:rsidRPr="00935094">
        <w:t>Member has received 12 months of therapy or more and is experiencing benefit from therapy (e.g., improvement, stabilization, or slowing of disease progression for encephalopathy and/or seizure activity, improved or normalized uric acid, urinary S-</w:t>
      </w:r>
      <w:proofErr w:type="spellStart"/>
      <w:r w:rsidRPr="00935094">
        <w:t>sulfocysteine</w:t>
      </w:r>
      <w:proofErr w:type="spellEnd"/>
      <w:r w:rsidRPr="00935094">
        <w:t>, and xanthine levels).</w:t>
      </w:r>
    </w:p>
    <w:p w14:paraId="2EE7EB9D" w14:textId="17BA89CC" w:rsidR="00935094" w:rsidRDefault="00935094" w:rsidP="00935094">
      <w:pPr>
        <w:pStyle w:val="Heading2"/>
      </w:pPr>
      <w:r w:rsidRPr="008D1B34">
        <w:t>References</w:t>
      </w:r>
    </w:p>
    <w:p w14:paraId="1246AA86" w14:textId="77777777" w:rsidR="00935094" w:rsidRPr="009F6D22" w:rsidRDefault="00935094" w:rsidP="00935094">
      <w:pPr>
        <w:pStyle w:val="ReferenceOrdered"/>
      </w:pPr>
      <w:r w:rsidRPr="009F6D22">
        <w:t xml:space="preserve">Nulibry [package insert]. Solana Beach, CA: </w:t>
      </w:r>
      <w:proofErr w:type="spellStart"/>
      <w:r w:rsidRPr="009F6D22">
        <w:t>Sentynl</w:t>
      </w:r>
      <w:proofErr w:type="spellEnd"/>
      <w:r w:rsidRPr="009F6D22">
        <w:t xml:space="preserve"> Therapeutics, Inc.; October 2022.</w:t>
      </w:r>
    </w:p>
    <w:p w14:paraId="3C088AE8" w14:textId="77777777" w:rsidR="00935094" w:rsidRPr="009F6D22" w:rsidRDefault="00935094" w:rsidP="00935094">
      <w:pPr>
        <w:pStyle w:val="ReferenceOrdered"/>
      </w:pPr>
      <w:r w:rsidRPr="00F67107">
        <w:rPr>
          <w:lang w:val="pt-BR"/>
        </w:rPr>
        <w:t xml:space="preserve">Atwal PS, Scaglia F. Molybdenum cofactor deficiency. </w:t>
      </w:r>
      <w:r w:rsidRPr="009F6D22">
        <w:t>Mol Genet Metab. 2016;117(1):1-4.</w:t>
      </w:r>
    </w:p>
    <w:p w14:paraId="40499C9E" w14:textId="77777777" w:rsidR="009F6D22" w:rsidRPr="009F6D22" w:rsidRDefault="009F6D22" w:rsidP="00935094">
      <w:pPr>
        <w:pStyle w:val="ReferenceOrdered"/>
      </w:pPr>
      <w:r w:rsidRPr="00F67107">
        <w:rPr>
          <w:lang w:val="nl-BE"/>
        </w:rPr>
        <w:t xml:space="preserve">Schwahn BC, Van Spronsen FJ, Belaidi AA, et al. </w:t>
      </w:r>
      <w:r w:rsidRPr="009F6D22">
        <w:t>Efficacy and safety of cyclic pyranopterin monophosphate substitution in severe molybdenum cofactor deficiency type A: a prospective cohort study. Lancet. 2015; 386: 1955-1963.</w:t>
      </w:r>
    </w:p>
    <w:p w14:paraId="630A26DF" w14:textId="604485F6" w:rsidR="009F6D22" w:rsidRPr="009F6D22" w:rsidRDefault="009F6D22" w:rsidP="00935094">
      <w:pPr>
        <w:pStyle w:val="ReferenceOrdered"/>
      </w:pPr>
      <w:r w:rsidRPr="009F6D22">
        <w:t xml:space="preserve">ClinicalTrials.gov. Study of ORGN001 (formerly ALXN1101) in neonates with molybdenum cofactor deficiency (MOCD) type A. Available at: https://clinicaltrials.gov/study/NCT02629393. Accessed: </w:t>
      </w:r>
      <w:r w:rsidR="005A478D">
        <w:t>November 11</w:t>
      </w:r>
      <w:r w:rsidRPr="009F6D22">
        <w:t>, 202</w:t>
      </w:r>
      <w:r w:rsidR="005A478D">
        <w:t>4</w:t>
      </w:r>
      <w:r w:rsidRPr="009F6D22">
        <w:t>.</w:t>
      </w:r>
    </w:p>
    <w:p w14:paraId="47E1A10C" w14:textId="2591A59E" w:rsidR="00C44990" w:rsidRPr="004F0F5E" w:rsidRDefault="009F6D22" w:rsidP="33D65A2D">
      <w:pPr>
        <w:pStyle w:val="ReferenceOrdered"/>
      </w:pPr>
      <w:r w:rsidRPr="009F6D22">
        <w:t xml:space="preserve">ClinicalTrials.gov. Safety &amp; efficacy study of ORGN001 (formerly ALXN1101) in pediatric patients with MoCD type A currently treated with </w:t>
      </w:r>
      <w:proofErr w:type="spellStart"/>
      <w:r w:rsidRPr="009F6D22">
        <w:t>rcPMP</w:t>
      </w:r>
      <w:proofErr w:type="spellEnd"/>
      <w:r w:rsidRPr="009F6D22">
        <w:t xml:space="preserve">. Available at: https://clinicaltrials.gov/ct2/show/NCT02047461.  Accessed: </w:t>
      </w:r>
      <w:r w:rsidR="005A478D">
        <w:t>November 11</w:t>
      </w:r>
      <w:r w:rsidRPr="009F6D22">
        <w:t>, 202</w:t>
      </w:r>
      <w:r w:rsidR="005A478D">
        <w:t>4</w:t>
      </w:r>
      <w:r w:rsidRPr="009F6D22">
        <w:t>.</w:t>
      </w:r>
    </w:p>
    <w:sectPr w:rsidR="00C44990" w:rsidRPr="004F0F5E" w:rsidSect="00D823DB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F4BE3" w14:textId="77777777" w:rsidR="00857B8E" w:rsidRDefault="00857B8E">
      <w:r>
        <w:separator/>
      </w:r>
    </w:p>
  </w:endnote>
  <w:endnote w:type="continuationSeparator" w:id="0">
    <w:p w14:paraId="443840CF" w14:textId="77777777" w:rsidR="00857B8E" w:rsidRDefault="00857B8E">
      <w:r>
        <w:continuationSeparator/>
      </w:r>
    </w:p>
  </w:endnote>
  <w:endnote w:type="continuationNotice" w:id="1">
    <w:p w14:paraId="52AB2983" w14:textId="77777777" w:rsidR="00857B8E" w:rsidRDefault="00857B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77AC5BF5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D823DB" w:rsidRPr="00D823DB">
      <w:rPr>
        <w:rFonts w:cs="Arial"/>
        <w:noProof/>
        <w:sz w:val="16"/>
        <w:szCs w:val="16"/>
      </w:rPr>
      <w:t>Nulibry</w:t>
    </w:r>
    <w:r w:rsidR="00D823DB">
      <w:rPr>
        <w:rFonts w:cs="Arial"/>
        <w:noProof/>
        <w:snapToGrid w:val="0"/>
        <w:color w:val="000000"/>
        <w:sz w:val="16"/>
        <w:szCs w:val="16"/>
      </w:rPr>
      <w:t xml:space="preserve"> SGM 4575-A</w:t>
    </w:r>
    <w:r w:rsidR="00D823DB" w:rsidRPr="00D823DB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C35E2F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76B0E2C8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181272C6" w:rsidR="00F75C81" w:rsidRPr="00AA1E6A" w:rsidRDefault="00C36B72" w:rsidP="008F729A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51D885D9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D823DB" w:rsidRPr="00D823DB">
      <w:rPr>
        <w:rFonts w:cs="Arial"/>
        <w:noProof/>
        <w:sz w:val="16"/>
        <w:szCs w:val="16"/>
      </w:rPr>
      <w:t>Nulibry</w:t>
    </w:r>
    <w:r w:rsidR="00D823DB">
      <w:rPr>
        <w:rFonts w:cs="Arial"/>
        <w:noProof/>
        <w:snapToGrid w:val="0"/>
        <w:color w:val="000000"/>
        <w:sz w:val="16"/>
        <w:szCs w:val="16"/>
      </w:rPr>
      <w:t xml:space="preserve"> SGM 4575-A</w:t>
    </w:r>
    <w:r w:rsidR="00D823DB" w:rsidRPr="00D823DB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F52795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7AF90106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0F676230" w:rsidR="00ED04EC" w:rsidRPr="00F50D98" w:rsidRDefault="00F50D98" w:rsidP="008F729A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DE046" w14:textId="77777777" w:rsidR="00857B8E" w:rsidRDefault="00857B8E">
      <w:r>
        <w:separator/>
      </w:r>
    </w:p>
  </w:footnote>
  <w:footnote w:type="continuationSeparator" w:id="0">
    <w:p w14:paraId="4A70A3BD" w14:textId="77777777" w:rsidR="00857B8E" w:rsidRDefault="00857B8E">
      <w:r>
        <w:continuationSeparator/>
      </w:r>
    </w:p>
  </w:footnote>
  <w:footnote w:type="continuationNotice" w:id="1">
    <w:p w14:paraId="4D52B7F3" w14:textId="77777777" w:rsidR="00857B8E" w:rsidRDefault="00857B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935094">
          <w:pPr>
            <w:pStyle w:val="RefTableData"/>
          </w:pPr>
          <w:r w:rsidRPr="00AA1E6A"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24F77C9A" w:rsidR="00ED04EC" w:rsidRPr="005B5910" w:rsidRDefault="005B5910" w:rsidP="00935094">
          <w:pPr>
            <w:pStyle w:val="RefTableData"/>
          </w:pPr>
          <w:r w:rsidRPr="005B5910">
            <w:t>4575</w:t>
          </w:r>
          <w:r w:rsidR="00F03BE6">
            <w:t>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35094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>
      <w:trPr>
        <w:trHeight w:val="378"/>
        <w:jc w:val="right"/>
      </w:trPr>
      <w:tc>
        <w:tcPr>
          <w:tcW w:w="1854" w:type="dxa"/>
          <w:hideMark/>
        </w:tcPr>
        <w:p w14:paraId="475EFE95" w14:textId="5A74C1A4" w:rsidR="000F5383" w:rsidRPr="00FF66BF" w:rsidRDefault="00935094" w:rsidP="00935094">
          <w:pPr>
            <w:pStyle w:val="RefTableData"/>
          </w:pPr>
          <w:r>
            <w:t>4575</w:t>
          </w:r>
          <w:r w:rsidR="006748BA">
            <w:t>-A</w:t>
          </w: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3135B"/>
    <w:multiLevelType w:val="multilevel"/>
    <w:tmpl w:val="355C8822"/>
    <w:lvl w:ilvl="0">
      <w:start w:val="1"/>
      <w:numFmt w:val="bullet"/>
      <w:lvlText w:val=""/>
      <w:lvlJc w:val="left"/>
      <w:pPr>
        <w:ind w:left="1074" w:hanging="360"/>
      </w:pPr>
      <w:rPr>
        <w:rFonts w:ascii="Wingdings" w:hAnsi="Wingdings" w:hint="default"/>
        <w:vertAlign w:val="baseline"/>
      </w:rPr>
    </w:lvl>
    <w:lvl w:ilvl="1">
      <w:start w:val="1"/>
      <w:numFmt w:val="bullet"/>
      <w:lvlText w:val=""/>
      <w:lvlJc w:val="left"/>
      <w:pPr>
        <w:ind w:left="1794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514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1" w15:restartNumberingAfterBreak="0">
    <w:nsid w:val="01816216"/>
    <w:multiLevelType w:val="hybridMultilevel"/>
    <w:tmpl w:val="C6CAC752"/>
    <w:lvl w:ilvl="0" w:tplc="3DE287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20507AA"/>
    <w:multiLevelType w:val="hybridMultilevel"/>
    <w:tmpl w:val="7E1A3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7" w15:restartNumberingAfterBreak="0">
    <w:nsid w:val="1C0C2563"/>
    <w:multiLevelType w:val="multilevel"/>
    <w:tmpl w:val="75888638"/>
    <w:lvl w:ilvl="0">
      <w:start w:val="1"/>
      <w:numFmt w:val="bullet"/>
      <w:lvlText w:val=""/>
      <w:lvlJc w:val="left"/>
      <w:pPr>
        <w:ind w:left="1074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794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514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8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733D4E"/>
    <w:multiLevelType w:val="hybridMultilevel"/>
    <w:tmpl w:val="262CB1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2BE5AF2"/>
    <w:multiLevelType w:val="hybridMultilevel"/>
    <w:tmpl w:val="CE008316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6B0C99"/>
    <w:multiLevelType w:val="multilevel"/>
    <w:tmpl w:val="89F4E6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150CB1"/>
    <w:multiLevelType w:val="hybridMultilevel"/>
    <w:tmpl w:val="29761FA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922409"/>
    <w:multiLevelType w:val="multilevel"/>
    <w:tmpl w:val="355C8822"/>
    <w:lvl w:ilvl="0">
      <w:start w:val="1"/>
      <w:numFmt w:val="bullet"/>
      <w:lvlText w:val=""/>
      <w:lvlJc w:val="left"/>
      <w:pPr>
        <w:ind w:left="1074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794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514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30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834C26"/>
    <w:multiLevelType w:val="hybridMultilevel"/>
    <w:tmpl w:val="3768D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CD42A7"/>
    <w:multiLevelType w:val="hybridMultilevel"/>
    <w:tmpl w:val="9C0AA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D57BB2"/>
    <w:multiLevelType w:val="hybridMultilevel"/>
    <w:tmpl w:val="63C28ED6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64921869">
    <w:abstractNumId w:val="13"/>
  </w:num>
  <w:num w:numId="2" w16cid:durableId="606935877">
    <w:abstractNumId w:val="32"/>
  </w:num>
  <w:num w:numId="3" w16cid:durableId="611589570">
    <w:abstractNumId w:val="27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4"/>
  </w:num>
  <w:num w:numId="15" w16cid:durableId="616722934">
    <w:abstractNumId w:val="12"/>
  </w:num>
  <w:num w:numId="16" w16cid:durableId="898320195">
    <w:abstractNumId w:val="22"/>
  </w:num>
  <w:num w:numId="17" w16cid:durableId="2128498676">
    <w:abstractNumId w:val="36"/>
  </w:num>
  <w:num w:numId="18" w16cid:durableId="299724409">
    <w:abstractNumId w:val="28"/>
  </w:num>
  <w:num w:numId="19" w16cid:durableId="214585573">
    <w:abstractNumId w:val="16"/>
  </w:num>
  <w:num w:numId="20" w16cid:durableId="1289816170">
    <w:abstractNumId w:val="18"/>
  </w:num>
  <w:num w:numId="21" w16cid:durableId="1066490929">
    <w:abstractNumId w:val="37"/>
  </w:num>
  <w:num w:numId="22" w16cid:durableId="1472481103">
    <w:abstractNumId w:val="31"/>
  </w:num>
  <w:num w:numId="23" w16cid:durableId="1997420403">
    <w:abstractNumId w:val="33"/>
  </w:num>
  <w:num w:numId="24" w16cid:durableId="33312838">
    <w:abstractNumId w:val="30"/>
  </w:num>
  <w:num w:numId="25" w16cid:durableId="507404939">
    <w:abstractNumId w:val="21"/>
  </w:num>
  <w:num w:numId="26" w16cid:durableId="1950313333">
    <w:abstractNumId w:val="26"/>
  </w:num>
  <w:num w:numId="27" w16cid:durableId="1866016584">
    <w:abstractNumId w:val="24"/>
  </w:num>
  <w:num w:numId="28" w16cid:durableId="1374037719">
    <w:abstractNumId w:val="10"/>
  </w:num>
  <w:num w:numId="29" w16cid:durableId="141239052">
    <w:abstractNumId w:val="25"/>
  </w:num>
  <w:num w:numId="30" w16cid:durableId="160391993">
    <w:abstractNumId w:val="17"/>
  </w:num>
  <w:num w:numId="31" w16cid:durableId="429278061">
    <w:abstractNumId w:val="20"/>
  </w:num>
  <w:num w:numId="32" w16cid:durableId="1118570594">
    <w:abstractNumId w:val="19"/>
  </w:num>
  <w:num w:numId="33" w16cid:durableId="933517565">
    <w:abstractNumId w:val="29"/>
  </w:num>
  <w:num w:numId="34" w16cid:durableId="1828277766">
    <w:abstractNumId w:val="38"/>
  </w:num>
  <w:num w:numId="35" w16cid:durableId="566956503">
    <w:abstractNumId w:val="11"/>
  </w:num>
  <w:num w:numId="36" w16cid:durableId="132186297">
    <w:abstractNumId w:val="10"/>
  </w:num>
  <w:num w:numId="37" w16cid:durableId="1862431719">
    <w:abstractNumId w:val="23"/>
  </w:num>
  <w:num w:numId="38" w16cid:durableId="269899257">
    <w:abstractNumId w:val="35"/>
  </w:num>
  <w:num w:numId="39" w16cid:durableId="1753427814">
    <w:abstractNumId w:val="15"/>
  </w:num>
  <w:num w:numId="40" w16cid:durableId="474834012">
    <w:abstractNumId w:val="3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CC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0F0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752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4C2B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89C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D43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655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9B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1A5"/>
    <w:rsid w:val="002F5F01"/>
    <w:rsid w:val="002F6300"/>
    <w:rsid w:val="002F6EE4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D0F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32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160"/>
    <w:rsid w:val="003A0693"/>
    <w:rsid w:val="003A2056"/>
    <w:rsid w:val="003A2E60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19B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137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74B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C55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727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5F9D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0F5E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78D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B5910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2E0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4B6"/>
    <w:rsid w:val="0064565D"/>
    <w:rsid w:val="00645B20"/>
    <w:rsid w:val="00645D4F"/>
    <w:rsid w:val="00647646"/>
    <w:rsid w:val="00647894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48BA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202"/>
    <w:rsid w:val="006909A7"/>
    <w:rsid w:val="006913AD"/>
    <w:rsid w:val="006917AF"/>
    <w:rsid w:val="006919C1"/>
    <w:rsid w:val="0069283D"/>
    <w:rsid w:val="00692A50"/>
    <w:rsid w:val="00693997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184F"/>
    <w:rsid w:val="00772C13"/>
    <w:rsid w:val="00773060"/>
    <w:rsid w:val="00773513"/>
    <w:rsid w:val="0077365E"/>
    <w:rsid w:val="007741BD"/>
    <w:rsid w:val="0077473F"/>
    <w:rsid w:val="00775BCA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11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4876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57B8E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5BF5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29A"/>
    <w:rsid w:val="008F79F2"/>
    <w:rsid w:val="008F7B57"/>
    <w:rsid w:val="0090242B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094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D22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222A"/>
    <w:rsid w:val="00A655AD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5F4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3A35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2E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651B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AB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5E2F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311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AA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861"/>
    <w:rsid w:val="00D16D32"/>
    <w:rsid w:val="00D178CA"/>
    <w:rsid w:val="00D17BE1"/>
    <w:rsid w:val="00D20446"/>
    <w:rsid w:val="00D20EFA"/>
    <w:rsid w:val="00D2121B"/>
    <w:rsid w:val="00D215BF"/>
    <w:rsid w:val="00D21D0C"/>
    <w:rsid w:val="00D2332E"/>
    <w:rsid w:val="00D24201"/>
    <w:rsid w:val="00D242A6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47A3F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3DB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328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2BB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37F57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3F83"/>
    <w:rsid w:val="00E54271"/>
    <w:rsid w:val="00E5515A"/>
    <w:rsid w:val="00E552B0"/>
    <w:rsid w:val="00E55509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4A3F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0D4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13D7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3BE6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2E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795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107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23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1D8D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106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06E6F224"/>
    <w:rsid w:val="0BA28EBF"/>
    <w:rsid w:val="18A206F3"/>
    <w:rsid w:val="18F6492F"/>
    <w:rsid w:val="1918DF58"/>
    <w:rsid w:val="1AD84E96"/>
    <w:rsid w:val="2198F442"/>
    <w:rsid w:val="29729D5D"/>
    <w:rsid w:val="2AE3B84F"/>
    <w:rsid w:val="2B43AB8C"/>
    <w:rsid w:val="2CF593F8"/>
    <w:rsid w:val="33D65A2D"/>
    <w:rsid w:val="38776B24"/>
    <w:rsid w:val="39FDDAEC"/>
    <w:rsid w:val="3B36FD03"/>
    <w:rsid w:val="5178C28B"/>
    <w:rsid w:val="55F6604A"/>
    <w:rsid w:val="57F385A7"/>
    <w:rsid w:val="610C4C34"/>
    <w:rsid w:val="62C780E2"/>
    <w:rsid w:val="65FAA86A"/>
    <w:rsid w:val="6D1DC6A4"/>
    <w:rsid w:val="70EAD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5ECC6B8-B633-4BE2-9B61-24BA519D6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1E7D9C-9883-48C9-89DE-9F5E46DA4683}"/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Nulibry 4575-A SGM 2024</vt:lpstr>
    </vt:vector>
  </TitlesOfParts>
  <Company>PCS Health Systems</Company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Nulibry SGM 4575-A</dc:title>
  <dc:subject/>
  <dc:creator>CVS Caremark</dc:creator>
  <cp:keywords/>
  <cp:lastModifiedBy>Huerta, Linda M</cp:lastModifiedBy>
  <cp:revision>39</cp:revision>
  <cp:lastPrinted>2018-01-09T05:01:00Z</cp:lastPrinted>
  <dcterms:created xsi:type="dcterms:W3CDTF">2024-05-14T11:17:00Z</dcterms:created>
  <dcterms:modified xsi:type="dcterms:W3CDTF">2025-03-06T18:44:00Z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1161900</vt:r8>
  </property>
  <property fmtid="{D5CDD505-2E9C-101B-9397-08002B2CF9AE}" pid="12" name="ComplianceAssetId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xd_Signature">
    <vt:bool>false</vt:bool>
  </property>
  <property fmtid="{D5CDD505-2E9C-101B-9397-08002B2CF9AE}" pid="16" name="xd_ProgID">
    <vt:lpwstr/>
  </property>
  <property fmtid="{D5CDD505-2E9C-101B-9397-08002B2CF9AE}" pid="17" name="_SourceUrl">
    <vt:lpwstr/>
  </property>
  <property fmtid="{D5CDD505-2E9C-101B-9397-08002B2CF9AE}" pid="18" name="_SharedFileIndex">
    <vt:lpwstr/>
  </property>
  <property fmtid="{D5CDD505-2E9C-101B-9397-08002B2CF9AE}" pid="19" name="TemplateUrl">
    <vt:lpwstr/>
  </property>
</Properties>
</file>